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奶茶行业FDD横向对比</w:t>
      </w:r>
    </w:p>
    <w:p>
      <w:r>
        <w:t xml:space="preserve">比较加盟费、投资额、Royalty、Marketing Fee、诉讼和退出风险。</w:t>
      </w:r>
    </w:p>
    <w:p>
      <w:r>
        <w:t xml:space="preserve">风险评分：67</w:t>
        <w:br/>
        <w:t xml:space="preserve">投资评分：70</w:t>
        <w:br/>
        <w:t xml:space="preserve">盈利披露评分：62</w:t>
      </w:r>
    </w:p>
    <w:p>
      <w:r>
        <w:t xml:space="preserve">免责声明：本报告仅供商业信息参考，不构成法律、投资、加盟、移民或财务建议。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Arial" w:eastAsia="Microsoft YaHei" w:hAnsi="Arial"/>
      <w:sz w:val="22"/>
    </w:rPr>
  </w:style>
  <w:style w:type="paragraph" w:styleId="Title">
    <w:name w:val="Title"/>
    <w:basedOn w:val="Normal"/>
    <w:pPr>
      <w:spacing w:after="240"/>
    </w:pPr>
    <w:rPr>
      <w:rFonts w:ascii="Arial" w:eastAsia="Microsoft YaHei" w:hAnsi="Arial"/>
      <w:b/>
      <w:sz w:val="36"/>
      <w:color w:val="0B1F3A"/>
    </w:rPr>
  </w:style>
  <w:style w:type="paragraph" w:styleId="Heading1">
    <w:name w:val="heading 1"/>
    <w:basedOn w:val="Normal"/>
    <w:pPr>
      <w:spacing w:before="300" w:after="120"/>
    </w:pPr>
    <w:rPr>
      <w:rFonts w:ascii="Arial" w:eastAsia="Microsoft YaHei" w:hAnsi="Arial"/>
      <w:b/>
      <w:sz w:val="28"/>
      <w:color w:val="0B1F3A"/>
    </w:rPr>
  </w:style>
  <w:style w:type="paragraph" w:styleId="Heading2">
    <w:name w:val="heading 2"/>
    <w:basedOn w:val="Normal"/>
    <w:pPr>
      <w:spacing w:before="180" w:after="80"/>
    </w:pPr>
    <w:rPr>
      <w:rFonts w:ascii="Arial" w:eastAsia="Microsoft YaHei" w:hAnsi="Arial"/>
      <w:b/>
      <w:sz w:val="24"/>
      <w:color w:val="243B5A"/>
    </w:rPr>
  </w:style>
</w:styles>
</file>