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清洁服务加盟风险雷达</w:t>
      </w:r>
    </w:p>
    <w:p>
      <w:r>
        <w:t xml:space="preserve">低启动成本行业的获客、续约、终止和竞业限制重点。</w:t>
      </w:r>
    </w:p>
    <w:p>
      <w:r>
        <w:t xml:space="preserve">风险评分：48</w:t>
        <w:br/>
        <w:t xml:space="preserve">投资评分：81</w:t>
        <w:br/>
        <w:t xml:space="preserve">盈利披露评分：69</w:t>
      </w:r>
    </w:p>
    <w:p>
      <w:r>
        <w:t xml:space="preserve">免责声明：本报告仅供商业信息参考，不构成法律、投资、加盟、移民或财务建议。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eastAsia="Microsoft YaHei" w:hAnsi="Arial"/>
      <w:sz w:val="22"/>
    </w:rPr>
  </w:style>
  <w:style w:type="paragraph" w:styleId="Title">
    <w:name w:val="Title"/>
    <w:basedOn w:val="Normal"/>
    <w:pPr>
      <w:spacing w:after="240"/>
    </w:pPr>
    <w:rPr>
      <w:rFonts w:ascii="Arial" w:eastAsia="Microsoft YaHei" w:hAnsi="Arial"/>
      <w:b/>
      <w:sz w:val="36"/>
      <w:color w:val="0B1F3A"/>
    </w:rPr>
  </w:style>
  <w:style w:type="paragraph" w:styleId="Heading1">
    <w:name w:val="heading 1"/>
    <w:basedOn w:val="Normal"/>
    <w:pPr>
      <w:spacing w:before="300" w:after="120"/>
    </w:pPr>
    <w:rPr>
      <w:rFonts w:ascii="Arial" w:eastAsia="Microsoft YaHei" w:hAnsi="Arial"/>
      <w:b/>
      <w:sz w:val="28"/>
      <w:color w:val="0B1F3A"/>
    </w:rPr>
  </w:style>
  <w:style w:type="paragraph" w:styleId="Heading2">
    <w:name w:val="heading 2"/>
    <w:basedOn w:val="Normal"/>
    <w:pPr>
      <w:spacing w:before="180" w:after="80"/>
    </w:pPr>
    <w:rPr>
      <w:rFonts w:ascii="Arial" w:eastAsia="Microsoft YaHei" w:hAnsi="Arial"/>
      <w:b/>
      <w:sz w:val="24"/>
      <w:color w:val="243B5A"/>
    </w:rPr>
  </w:style>
</w:styles>
</file>