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Gong Cha 2025 FDD AI情报报告</w:t>
      </w:r>
    </w:p>
    <w:p>
      <w:r>
        <w:t xml:space="preserve">Item 5/6/7费用、Item 19披露质量、Item 20门店增长和合同风险摘要。</w:t>
      </w:r>
    </w:p>
    <w:p>
      <w:r>
        <w:t xml:space="preserve">风险评分：64</w:t>
        <w:br/>
        <w:t xml:space="preserve">投资评分：72</w:t>
        <w:br/>
        <w:t xml:space="preserve">盈利披露评分：71</w:t>
      </w:r>
    </w:p>
    <w:p>
      <w:r>
        <w:t xml:space="preserve">免责声明：本报告仅供商业信息参考，不构成法律、投资、加盟、移民或财务建议。</w:t>
      </w:r>
    </w:p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Arial" w:eastAsia="Microsoft YaHei" w:hAnsi="Arial"/>
      <w:sz w:val="22"/>
    </w:rPr>
  </w:style>
  <w:style w:type="paragraph" w:styleId="Title">
    <w:name w:val="Title"/>
    <w:basedOn w:val="Normal"/>
    <w:pPr>
      <w:spacing w:after="240"/>
    </w:pPr>
    <w:rPr>
      <w:rFonts w:ascii="Arial" w:eastAsia="Microsoft YaHei" w:hAnsi="Arial"/>
      <w:b/>
      <w:sz w:val="36"/>
      <w:color w:val="0B1F3A"/>
    </w:rPr>
  </w:style>
  <w:style w:type="paragraph" w:styleId="Heading1">
    <w:name w:val="heading 1"/>
    <w:basedOn w:val="Normal"/>
    <w:pPr>
      <w:spacing w:before="300" w:after="120"/>
    </w:pPr>
    <w:rPr>
      <w:rFonts w:ascii="Arial" w:eastAsia="Microsoft YaHei" w:hAnsi="Arial"/>
      <w:b/>
      <w:sz w:val="28"/>
      <w:color w:val="0B1F3A"/>
    </w:rPr>
  </w:style>
  <w:style w:type="paragraph" w:styleId="Heading2">
    <w:name w:val="heading 2"/>
    <w:basedOn w:val="Normal"/>
    <w:pPr>
      <w:spacing w:before="180" w:after="80"/>
    </w:pPr>
    <w:rPr>
      <w:rFonts w:ascii="Arial" w:eastAsia="Microsoft YaHei" w:hAnsi="Arial"/>
      <w:b/>
      <w:sz w:val="24"/>
      <w:color w:val="243B5A"/>
    </w:rPr>
  </w:style>
</w:styles>
</file>